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A52BA" w:rsidRPr="00441D70" w:rsidRDefault="00057373" w:rsidP="00441D70">
      <w:r>
        <w:t>Per la lettura della tabella</w:t>
      </w:r>
      <w:r w:rsidR="00BA52BA">
        <w:t>:</w:t>
      </w:r>
    </w:p>
    <w:p w:rsidR="00BA52BA" w:rsidRDefault="00BA52BA">
      <w:pPr>
        <w:divId w:val="1020426642"/>
        <w:rPr>
          <w:rFonts w:ascii="Arial" w:eastAsia="Times New Roman" w:hAnsi="Arial" w:cs="Arial"/>
          <w:color w:val="3D3D3D"/>
          <w:sz w:val="21"/>
          <w:szCs w:val="21"/>
        </w:rPr>
      </w:pPr>
      <w:r>
        <w:rPr>
          <w:rFonts w:ascii="Arial" w:eastAsia="Times New Roman" w:hAnsi="Arial" w:cs="Arial"/>
          <w:color w:val="3D3D3D"/>
          <w:sz w:val="21"/>
          <w:szCs w:val="21"/>
        </w:rPr>
        <w:t xml:space="preserve">Le cifre indicate nella Tabella A1 (relativa agli incrementi mensili della retribuzione tabellare) e quelle indicate nelle Tabelle D1 (relative agli incrementi di </w:t>
      </w:r>
      <w:proofErr w:type="spellStart"/>
      <w:r>
        <w:rPr>
          <w:rFonts w:ascii="Arial" w:eastAsia="Times New Roman" w:hAnsi="Arial" w:cs="Arial"/>
          <w:color w:val="3D3D3D"/>
          <w:sz w:val="21"/>
          <w:szCs w:val="21"/>
        </w:rPr>
        <w:t>Rpd</w:t>
      </w:r>
      <w:proofErr w:type="spellEnd"/>
      <w:r>
        <w:rPr>
          <w:rFonts w:ascii="Arial" w:eastAsia="Times New Roman" w:hAnsi="Arial" w:cs="Arial"/>
          <w:color w:val="3D3D3D"/>
          <w:sz w:val="21"/>
          <w:szCs w:val="21"/>
        </w:rPr>
        <w:t>/Cia/Indennità di direzione) sono da considerarsi al netto dell’elemento perequativo (EP) e al lordo dell’indennità di vacanza contrattuale (IVC) in godimento per il triennio 2019-2021. Ricordiamo che l’EP è stato introdotto nel precedente contratto quale elemento aggiuntivo di natura accessoria in favore dei livelli retributivi più bassi. Invece l’IVC consiste in un’anticipazione dei benefici economici che verranno attribuiti al momento del rinnovo contrattuale e che saranno riassorbiti all’atto della stipula.</w:t>
      </w:r>
      <w:r>
        <w:rPr>
          <w:rFonts w:ascii="Arial" w:eastAsia="Times New Roman" w:hAnsi="Arial" w:cs="Arial"/>
          <w:color w:val="3D3D3D"/>
          <w:sz w:val="21"/>
          <w:szCs w:val="21"/>
        </w:rPr>
        <w:br/>
      </w:r>
      <w:r>
        <w:rPr>
          <w:rFonts w:ascii="Arial" w:eastAsia="Times New Roman" w:hAnsi="Arial" w:cs="Arial"/>
          <w:color w:val="3D3D3D"/>
          <w:sz w:val="21"/>
          <w:szCs w:val="21"/>
        </w:rPr>
        <w:br/>
        <w:t>Ciò significa che per conoscere gli aumenti effettivi del CCNL appena sottoscritto occorre sottrarre l’IVC in godimento ma non l’EP che invece con questo CCNL (art. 3 c.3) è stato inglobato e si aggiunge allo stipendio tabellare (come indicato nella Tabella C1 allegata al CCNL) con i conseguenti benefici anche sul piano previdenziale.</w:t>
      </w:r>
      <w:r>
        <w:rPr>
          <w:rFonts w:ascii="Arial" w:eastAsia="Times New Roman" w:hAnsi="Arial" w:cs="Arial"/>
          <w:color w:val="3D3D3D"/>
          <w:sz w:val="21"/>
          <w:szCs w:val="21"/>
        </w:rPr>
        <w:br/>
      </w:r>
      <w:r>
        <w:rPr>
          <w:rFonts w:ascii="Arial" w:eastAsia="Times New Roman" w:hAnsi="Arial" w:cs="Arial"/>
          <w:color w:val="3D3D3D"/>
          <w:sz w:val="21"/>
          <w:szCs w:val="21"/>
        </w:rPr>
        <w:br/>
        <w:t>In allegato trovate una </w:t>
      </w:r>
      <w:hyperlink r:id="rId4" w:tgtFrame="_blank" w:history="1">
        <w:r>
          <w:rPr>
            <w:rStyle w:val="Enfasigrassetto"/>
            <w:rFonts w:ascii="Arial" w:eastAsia="Times New Roman" w:hAnsi="Arial" w:cs="Arial"/>
            <w:color w:val="4285F4"/>
            <w:sz w:val="21"/>
            <w:szCs w:val="21"/>
          </w:rPr>
          <w:t>tabella riassuntiva</w:t>
        </w:r>
      </w:hyperlink>
      <w:r>
        <w:rPr>
          <w:rFonts w:ascii="Arial" w:eastAsia="Times New Roman" w:hAnsi="Arial" w:cs="Arial"/>
          <w:color w:val="3D3D3D"/>
          <w:sz w:val="21"/>
          <w:szCs w:val="21"/>
        </w:rPr>
        <w:t> degli aumenti contrattuali alla luce dei chiarimenti sopra forniti. Si rammenta che tutti gli aumenti indicati sono lordo dipendente a cui vanno sottratti le ritenute assistenziali e previdenziali e le ritenute Irpef.</w:t>
      </w:r>
      <w:r>
        <w:rPr>
          <w:rFonts w:ascii="Arial" w:eastAsia="Times New Roman" w:hAnsi="Arial" w:cs="Arial"/>
          <w:color w:val="3D3D3D"/>
          <w:sz w:val="21"/>
          <w:szCs w:val="21"/>
        </w:rPr>
        <w:br/>
      </w:r>
      <w:r>
        <w:rPr>
          <w:rFonts w:ascii="Arial" w:eastAsia="Times New Roman" w:hAnsi="Arial" w:cs="Arial"/>
          <w:color w:val="3D3D3D"/>
          <w:sz w:val="21"/>
          <w:szCs w:val="21"/>
        </w:rPr>
        <w:br/>
        <w:t>Si coglie l'occasione per evidenziare che la Tabella C1 Scuola relativa al conglobamento dell'EP nello stipendio tabellare è stata pubblicata dall'Aran senza la parte riguardante il personale docente. Si tratta di un mero errore materiale già segnalato all'Aran che verrà corretto quanto prima.</w:t>
      </w:r>
    </w:p>
    <w:p w:rsidR="00BA52BA" w:rsidRDefault="00BA52BA" w:rsidP="00441D70">
      <w:pPr>
        <w:divId w:val="1728187747"/>
        <w:rPr>
          <w:rFonts w:ascii="Arial" w:eastAsia="Times New Roman" w:hAnsi="Arial" w:cs="Arial"/>
          <w:color w:val="3D3D3D"/>
          <w:sz w:val="21"/>
          <w:szCs w:val="21"/>
        </w:rPr>
      </w:pPr>
    </w:p>
    <w:p w:rsidR="00BA52BA" w:rsidRDefault="00BA52BA">
      <w:pPr>
        <w:divId w:val="541751690"/>
        <w:rPr>
          <w:rFonts w:ascii="Roboto" w:eastAsia="Times New Roman" w:hAnsi="Roboto" w:cs="Times New Roman"/>
          <w:color w:val="000000"/>
          <w:sz w:val="19"/>
          <w:szCs w:val="19"/>
        </w:rPr>
      </w:pPr>
    </w:p>
    <w:p w:rsidR="00057373" w:rsidRDefault="00057373"/>
    <w:sectPr w:rsidR="0005737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Roboto">
    <w:panose1 w:val="02000000000000000000"/>
    <w:charset w:val="00"/>
    <w:family w:val="auto"/>
    <w:pitch w:val="variable"/>
    <w:sig w:usb0="E00002FF" w:usb1="5000217F" w:usb2="0000002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7"/>
  <w:proofState w:spelling="clean"/>
  <w:revisionView w:inkAnnotations="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373"/>
    <w:rsid w:val="00057373"/>
    <w:rsid w:val="00441D70"/>
    <w:rsid w:val="00BA52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7CE1FF58"/>
  <w15:chartTrackingRefBased/>
  <w15:docId w15:val="{88713D14-DE1E-5449-842B-97EC05816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BA52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241462">
      <w:bodyDiv w:val="1"/>
      <w:marLeft w:val="0"/>
      <w:marRight w:val="0"/>
      <w:marTop w:val="0"/>
      <w:marBottom w:val="0"/>
      <w:divBdr>
        <w:top w:val="none" w:sz="0" w:space="0" w:color="auto"/>
        <w:left w:val="none" w:sz="0" w:space="0" w:color="auto"/>
        <w:bottom w:val="none" w:sz="0" w:space="0" w:color="auto"/>
        <w:right w:val="none" w:sz="0" w:space="0" w:color="auto"/>
      </w:divBdr>
      <w:divsChild>
        <w:div w:id="1458911096">
          <w:marLeft w:val="0"/>
          <w:marRight w:val="0"/>
          <w:marTop w:val="0"/>
          <w:marBottom w:val="0"/>
          <w:divBdr>
            <w:top w:val="none" w:sz="0" w:space="0" w:color="auto"/>
            <w:left w:val="none" w:sz="0" w:space="0" w:color="auto"/>
            <w:bottom w:val="none" w:sz="0" w:space="0" w:color="auto"/>
            <w:right w:val="none" w:sz="0" w:space="0" w:color="auto"/>
          </w:divBdr>
          <w:divsChild>
            <w:div w:id="65498432">
              <w:marLeft w:val="0"/>
              <w:marRight w:val="0"/>
              <w:marTop w:val="240"/>
              <w:marBottom w:val="240"/>
              <w:divBdr>
                <w:top w:val="none" w:sz="0" w:space="0" w:color="auto"/>
                <w:left w:val="none" w:sz="0" w:space="0" w:color="auto"/>
                <w:bottom w:val="none" w:sz="0" w:space="0" w:color="auto"/>
                <w:right w:val="none" w:sz="0" w:space="0" w:color="auto"/>
              </w:divBdr>
              <w:divsChild>
                <w:div w:id="684017963">
                  <w:marLeft w:val="0"/>
                  <w:marRight w:val="0"/>
                  <w:marTop w:val="0"/>
                  <w:marBottom w:val="0"/>
                  <w:divBdr>
                    <w:top w:val="none" w:sz="0" w:space="0" w:color="auto"/>
                    <w:left w:val="none" w:sz="0" w:space="0" w:color="auto"/>
                    <w:bottom w:val="none" w:sz="0" w:space="0" w:color="auto"/>
                    <w:right w:val="none" w:sz="0" w:space="0" w:color="auto"/>
                  </w:divBdr>
                  <w:divsChild>
                    <w:div w:id="1666393555">
                      <w:marLeft w:val="0"/>
                      <w:marRight w:val="0"/>
                      <w:marTop w:val="0"/>
                      <w:marBottom w:val="0"/>
                      <w:divBdr>
                        <w:top w:val="none" w:sz="0" w:space="0" w:color="auto"/>
                        <w:left w:val="none" w:sz="0" w:space="0" w:color="auto"/>
                        <w:bottom w:val="none" w:sz="0" w:space="0" w:color="auto"/>
                        <w:right w:val="none" w:sz="0" w:space="0" w:color="auto"/>
                      </w:divBdr>
                      <w:divsChild>
                        <w:div w:id="1888830470">
                          <w:marLeft w:val="0"/>
                          <w:marRight w:val="0"/>
                          <w:marTop w:val="0"/>
                          <w:marBottom w:val="0"/>
                          <w:divBdr>
                            <w:top w:val="none" w:sz="0" w:space="0" w:color="auto"/>
                            <w:left w:val="none" w:sz="0" w:space="0" w:color="auto"/>
                            <w:bottom w:val="none" w:sz="0" w:space="0" w:color="auto"/>
                            <w:right w:val="none" w:sz="0" w:space="0" w:color="auto"/>
                          </w:divBdr>
                        </w:div>
                        <w:div w:id="1195801091">
                          <w:marLeft w:val="0"/>
                          <w:marRight w:val="0"/>
                          <w:marTop w:val="0"/>
                          <w:marBottom w:val="0"/>
                          <w:divBdr>
                            <w:top w:val="none" w:sz="0" w:space="0" w:color="auto"/>
                            <w:left w:val="none" w:sz="0" w:space="0" w:color="auto"/>
                            <w:bottom w:val="none" w:sz="0" w:space="0" w:color="auto"/>
                            <w:right w:val="none" w:sz="0" w:space="0" w:color="auto"/>
                          </w:divBdr>
                          <w:divsChild>
                            <w:div w:id="898827288">
                              <w:marLeft w:val="0"/>
                              <w:marRight w:val="0"/>
                              <w:marTop w:val="120"/>
                              <w:marBottom w:val="0"/>
                              <w:divBdr>
                                <w:top w:val="none" w:sz="0" w:space="0" w:color="auto"/>
                                <w:left w:val="none" w:sz="0" w:space="0" w:color="auto"/>
                                <w:bottom w:val="none" w:sz="0" w:space="0" w:color="auto"/>
                                <w:right w:val="none" w:sz="0" w:space="0" w:color="auto"/>
                              </w:divBdr>
                              <w:divsChild>
                                <w:div w:id="148206041">
                                  <w:marLeft w:val="0"/>
                                  <w:marRight w:val="0"/>
                                  <w:marTop w:val="0"/>
                                  <w:marBottom w:val="0"/>
                                  <w:divBdr>
                                    <w:top w:val="none" w:sz="0" w:space="0" w:color="auto"/>
                                    <w:left w:val="none" w:sz="0" w:space="0" w:color="auto"/>
                                    <w:bottom w:val="none" w:sz="0" w:space="0" w:color="auto"/>
                                    <w:right w:val="none" w:sz="0" w:space="0" w:color="auto"/>
                                  </w:divBdr>
                                  <w:divsChild>
                                    <w:div w:id="1687050857">
                                      <w:marLeft w:val="0"/>
                                      <w:marRight w:val="0"/>
                                      <w:marTop w:val="0"/>
                                      <w:marBottom w:val="0"/>
                                      <w:divBdr>
                                        <w:top w:val="none" w:sz="0" w:space="0" w:color="auto"/>
                                        <w:left w:val="none" w:sz="0" w:space="0" w:color="auto"/>
                                        <w:bottom w:val="none" w:sz="0" w:space="0" w:color="auto"/>
                                        <w:right w:val="none" w:sz="0" w:space="0" w:color="auto"/>
                                      </w:divBdr>
                                      <w:divsChild>
                                        <w:div w:id="1020426642">
                                          <w:marLeft w:val="0"/>
                                          <w:marRight w:val="0"/>
                                          <w:marTop w:val="0"/>
                                          <w:marBottom w:val="0"/>
                                          <w:divBdr>
                                            <w:top w:val="none" w:sz="0" w:space="0" w:color="auto"/>
                                            <w:left w:val="none" w:sz="0" w:space="0" w:color="auto"/>
                                            <w:bottom w:val="none" w:sz="0" w:space="0" w:color="auto"/>
                                            <w:right w:val="none" w:sz="0" w:space="0" w:color="auto"/>
                                          </w:divBdr>
                                        </w:div>
                                        <w:div w:id="2105682499">
                                          <w:marLeft w:val="0"/>
                                          <w:marRight w:val="0"/>
                                          <w:marTop w:val="0"/>
                                          <w:marBottom w:val="0"/>
                                          <w:divBdr>
                                            <w:top w:val="none" w:sz="0" w:space="0" w:color="auto"/>
                                            <w:left w:val="none" w:sz="0" w:space="0" w:color="auto"/>
                                            <w:bottom w:val="none" w:sz="0" w:space="0" w:color="auto"/>
                                            <w:right w:val="none" w:sz="0" w:space="0" w:color="auto"/>
                                          </w:divBdr>
                                        </w:div>
                                        <w:div w:id="1728187747">
                                          <w:marLeft w:val="0"/>
                                          <w:marRight w:val="0"/>
                                          <w:marTop w:val="0"/>
                                          <w:marBottom w:val="0"/>
                                          <w:divBdr>
                                            <w:top w:val="none" w:sz="0" w:space="0" w:color="auto"/>
                                            <w:left w:val="none" w:sz="0" w:space="0" w:color="auto"/>
                                            <w:bottom w:val="none" w:sz="0" w:space="0" w:color="auto"/>
                                            <w:right w:val="none" w:sz="0" w:space="0" w:color="auto"/>
                                          </w:divBdr>
                                        </w:div>
                                        <w:div w:id="301737934">
                                          <w:marLeft w:val="0"/>
                                          <w:marRight w:val="0"/>
                                          <w:marTop w:val="0"/>
                                          <w:marBottom w:val="0"/>
                                          <w:divBdr>
                                            <w:top w:val="none" w:sz="0" w:space="0" w:color="auto"/>
                                            <w:left w:val="none" w:sz="0" w:space="0" w:color="auto"/>
                                            <w:bottom w:val="none" w:sz="0" w:space="0" w:color="auto"/>
                                            <w:right w:val="none" w:sz="0" w:space="0" w:color="auto"/>
                                          </w:divBdr>
                                        </w:div>
                                        <w:div w:id="40456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75169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hyperlink" Target="https://intranet.flcgil.it/cms/doc/10382/tabella-aumenti-scuola-al-netto-ivc.docx" TargetMode="Externa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257</Words>
  <Characters>1466</Characters>
  <Application>Microsoft Office Word</Application>
  <DocSecurity>0</DocSecurity>
  <Lines>12</Lines>
  <Paragraphs>3</Paragraphs>
  <ScaleCrop>false</ScaleCrop>
  <Company/>
  <LinksUpToDate>false</LinksUpToDate>
  <CharactersWithSpaces>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guest</dc:creator>
  <cp:keywords/>
  <dc:description/>
  <cp:lastModifiedBy>Utente guest</cp:lastModifiedBy>
  <cp:revision>2</cp:revision>
  <dcterms:created xsi:type="dcterms:W3CDTF">2022-11-16T08:47:00Z</dcterms:created>
  <dcterms:modified xsi:type="dcterms:W3CDTF">2022-11-16T08:47:00Z</dcterms:modified>
</cp:coreProperties>
</file>